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A8496" w14:textId="77777777" w:rsidR="00BF1D8A" w:rsidRPr="00BF1D8A" w:rsidRDefault="00BF1D8A" w:rsidP="00BF1D8A">
      <w:pPr>
        <w:shd w:val="clear" w:color="auto" w:fill="FFFFFF"/>
        <w:spacing w:after="300" w:line="240" w:lineRule="auto"/>
        <w:outlineLvl w:val="0"/>
        <w:rPr>
          <w:rFonts w:ascii="Arial" w:eastAsia="Times New Roman" w:hAnsi="Arial" w:cs="Arial"/>
          <w:color w:val="2D2D2D"/>
          <w:kern w:val="36"/>
          <w:sz w:val="48"/>
          <w:szCs w:val="48"/>
          <w:lang w:eastAsia="nl-NL"/>
        </w:rPr>
      </w:pPr>
      <w:r w:rsidRPr="00BF1D8A">
        <w:rPr>
          <w:rFonts w:ascii="Arial" w:eastAsia="Times New Roman" w:hAnsi="Arial" w:cs="Arial"/>
          <w:color w:val="2D2D2D"/>
          <w:kern w:val="36"/>
          <w:sz w:val="48"/>
          <w:szCs w:val="48"/>
          <w:lang w:eastAsia="nl-NL"/>
        </w:rPr>
        <w:t>'Energieleveranciers moeten btw-verlaging direct doorberekenen'</w:t>
      </w:r>
    </w:p>
    <w:p w14:paraId="5EFD34B3" w14:textId="77777777" w:rsidR="00BF1D8A" w:rsidRPr="00BF1D8A" w:rsidRDefault="00BF1D8A" w:rsidP="00BF1D8A">
      <w:pPr>
        <w:shd w:val="clear" w:color="auto" w:fill="FFFFFF"/>
        <w:spacing w:before="100" w:beforeAutospacing="1" w:after="100" w:afterAutospacing="1" w:line="240" w:lineRule="auto"/>
        <w:rPr>
          <w:rFonts w:ascii="Arial" w:eastAsia="Times New Roman" w:hAnsi="Arial" w:cs="Arial"/>
          <w:color w:val="2D2D2D"/>
          <w:sz w:val="20"/>
          <w:szCs w:val="20"/>
          <w:lang w:eastAsia="nl-NL"/>
        </w:rPr>
      </w:pPr>
      <w:r w:rsidRPr="00BF1D8A">
        <w:rPr>
          <w:rFonts w:ascii="Arial" w:eastAsia="Times New Roman" w:hAnsi="Arial" w:cs="Arial"/>
          <w:color w:val="2D2D2D"/>
          <w:sz w:val="20"/>
          <w:szCs w:val="20"/>
          <w:lang w:eastAsia="nl-NL"/>
        </w:rPr>
        <w:t>Van1 juli 2022 tot en met 31 december 2022 geldt een BTW-tarief van 9% in plaats van 21% voor energie. De BTW-verlaging is bedoeld als compensatie voor de stijgende energiekosten. De </w:t>
      </w:r>
      <w:hyperlink r:id="rId4" w:tgtFrame="_blank" w:history="1">
        <w:r w:rsidRPr="00BF1D8A">
          <w:rPr>
            <w:rFonts w:ascii="Arial" w:eastAsia="Times New Roman" w:hAnsi="Arial" w:cs="Arial"/>
            <w:b/>
            <w:bCs/>
            <w:sz w:val="20"/>
            <w:szCs w:val="20"/>
            <w:u w:val="single"/>
            <w:lang w:eastAsia="nl-NL"/>
          </w:rPr>
          <w:t>Consumentbond</w:t>
        </w:r>
      </w:hyperlink>
      <w:r w:rsidRPr="00BF1D8A">
        <w:rPr>
          <w:rFonts w:ascii="Arial" w:eastAsia="Times New Roman" w:hAnsi="Arial" w:cs="Arial"/>
          <w:color w:val="2D2D2D"/>
          <w:sz w:val="20"/>
          <w:szCs w:val="20"/>
          <w:lang w:eastAsia="nl-NL"/>
        </w:rPr>
        <w:t> heeft onderzoek gedaan bij 20 energieaanbieders. Daarvan kiest alleen Essent voor direct verrekening in het maandbedrag. De andere aanbieders verrekenen de verlaging pas op de jaarnota. Wie eerder wil profiteren van de verlaging moet daar zelf om vragen. De Consumentenbond vindt het onacceptabel dat de meeste leveranciers de BTW-verlaging niet direct verrekenen. Het is niet de bedoeling dat energieleveranciers het btw-voordeel gebruiken als een soort spaarpot voor zichzelf, aldus de Consumentenbond. De </w:t>
      </w:r>
      <w:hyperlink r:id="rId5" w:tgtFrame="_blank" w:history="1">
        <w:r w:rsidRPr="00BF1D8A">
          <w:rPr>
            <w:rFonts w:ascii="Arial" w:eastAsia="Times New Roman" w:hAnsi="Arial" w:cs="Arial"/>
            <w:b/>
            <w:bCs/>
            <w:sz w:val="20"/>
            <w:szCs w:val="20"/>
            <w:u w:val="single"/>
            <w:lang w:eastAsia="nl-NL"/>
          </w:rPr>
          <w:t>NOS</w:t>
        </w:r>
      </w:hyperlink>
      <w:r w:rsidRPr="00BF1D8A">
        <w:rPr>
          <w:rFonts w:ascii="Arial" w:eastAsia="Times New Roman" w:hAnsi="Arial" w:cs="Arial"/>
          <w:color w:val="2D2D2D"/>
          <w:sz w:val="20"/>
          <w:szCs w:val="20"/>
          <w:lang w:eastAsia="nl-NL"/>
        </w:rPr>
        <w:t> meldt nog dat de termijnbedragen van klanten met een variabel contract bij de drie grote energiebedrijven sowieso aangepast worden per 1 juli vanwege de hoge tarieven. De belastingverlaging wordt daarbij meegenomen.</w:t>
      </w:r>
    </w:p>
    <w:p w14:paraId="32DB986F" w14:textId="13230E41" w:rsidR="00BF1D8A" w:rsidRDefault="00BF1D8A" w:rsidP="00BF1D8A">
      <w:pPr>
        <w:shd w:val="clear" w:color="auto" w:fill="FFFFFF"/>
        <w:spacing w:before="100" w:beforeAutospacing="1" w:after="100" w:afterAutospacing="1" w:line="240" w:lineRule="auto"/>
        <w:rPr>
          <w:rFonts w:ascii="Arial" w:eastAsia="Times New Roman" w:hAnsi="Arial" w:cs="Arial"/>
          <w:b/>
          <w:bCs/>
          <w:color w:val="2D2D2D"/>
          <w:sz w:val="20"/>
          <w:szCs w:val="20"/>
          <w:lang w:eastAsia="nl-NL"/>
        </w:rPr>
      </w:pPr>
      <w:r w:rsidRPr="00BF1D8A">
        <w:rPr>
          <w:rFonts w:ascii="Arial" w:eastAsia="Times New Roman" w:hAnsi="Arial" w:cs="Arial"/>
          <w:b/>
          <w:bCs/>
          <w:color w:val="2D2D2D"/>
          <w:sz w:val="20"/>
          <w:szCs w:val="20"/>
          <w:lang w:eastAsia="nl-NL"/>
        </w:rPr>
        <w:t>Kijk voor meer informatie over uw energierekening op de website van uw energieleverancier. Daar vindt u vaak ook advies over het bijstellen van uw termijnbedrag.</w:t>
      </w:r>
    </w:p>
    <w:p w14:paraId="7587A1CC" w14:textId="77777777" w:rsidR="0082540C" w:rsidRPr="0082540C" w:rsidRDefault="0082540C" w:rsidP="0082540C">
      <w:pPr>
        <w:shd w:val="clear" w:color="auto" w:fill="FFFFFF"/>
        <w:spacing w:after="300" w:line="240" w:lineRule="auto"/>
        <w:outlineLvl w:val="0"/>
        <w:rPr>
          <w:rFonts w:ascii="Arial" w:eastAsia="Times New Roman" w:hAnsi="Arial" w:cs="Arial"/>
          <w:color w:val="2D2D2D"/>
          <w:kern w:val="36"/>
          <w:sz w:val="48"/>
          <w:szCs w:val="48"/>
          <w:lang w:eastAsia="nl-NL"/>
        </w:rPr>
      </w:pPr>
      <w:r w:rsidRPr="0082540C">
        <w:rPr>
          <w:rFonts w:ascii="Arial" w:eastAsia="Times New Roman" w:hAnsi="Arial" w:cs="Arial"/>
          <w:color w:val="2D2D2D"/>
          <w:kern w:val="36"/>
          <w:sz w:val="48"/>
          <w:szCs w:val="48"/>
          <w:lang w:eastAsia="nl-NL"/>
        </w:rPr>
        <w:t>Pensioenverhoging weer een stapje dichterbij</w:t>
      </w:r>
    </w:p>
    <w:p w14:paraId="6F570D36" w14:textId="407FE43C" w:rsidR="0082540C" w:rsidRPr="0082540C" w:rsidRDefault="0082540C" w:rsidP="0082540C">
      <w:pPr>
        <w:shd w:val="clear" w:color="auto" w:fill="FFFFFF"/>
        <w:spacing w:before="100" w:beforeAutospacing="1" w:after="100" w:afterAutospacing="1" w:line="240" w:lineRule="auto"/>
        <w:rPr>
          <w:rFonts w:ascii="Arial" w:eastAsia="Times New Roman" w:hAnsi="Arial" w:cs="Arial"/>
          <w:sz w:val="20"/>
          <w:szCs w:val="20"/>
          <w:u w:val="single"/>
          <w:lang w:eastAsia="nl-NL"/>
        </w:rPr>
      </w:pPr>
      <w:r w:rsidRPr="0082540C">
        <w:rPr>
          <w:rFonts w:ascii="Arial" w:eastAsia="Times New Roman" w:hAnsi="Arial" w:cs="Arial"/>
          <w:color w:val="2D2D2D"/>
          <w:sz w:val="20"/>
          <w:szCs w:val="20"/>
          <w:lang w:eastAsia="nl-NL"/>
        </w:rPr>
        <w:t>De dekkingsgraden van de pensioenfondsen zijn in mei opnieuw gestegen. Het vermogen van de grote pensioenfondsen is het afgelopen maand opnieuw afgenomen, maar de rentestijging compenseerde de daling van het vermogen. Dat blijkt uit de Pensioenthermometer van </w:t>
      </w:r>
      <w:hyperlink r:id="rId6" w:tgtFrame="_blank" w:history="1">
        <w:r w:rsidRPr="0082540C">
          <w:rPr>
            <w:rFonts w:ascii="Arial" w:eastAsia="Times New Roman" w:hAnsi="Arial" w:cs="Arial"/>
            <w:sz w:val="20"/>
            <w:szCs w:val="20"/>
            <w:lang w:eastAsia="nl-NL"/>
          </w:rPr>
          <w:t>Aon</w:t>
        </w:r>
      </w:hyperlink>
      <w:r w:rsidRPr="0082540C">
        <w:rPr>
          <w:rFonts w:ascii="Arial" w:eastAsia="Times New Roman" w:hAnsi="Arial" w:cs="Arial"/>
          <w:color w:val="2D2D2D"/>
          <w:sz w:val="20"/>
          <w:szCs w:val="20"/>
          <w:lang w:eastAsia="nl-NL"/>
        </w:rPr>
        <w:t xml:space="preserve">. </w:t>
      </w:r>
      <w:r w:rsidR="00533410">
        <w:rPr>
          <w:rFonts w:ascii="Arial" w:eastAsia="Times New Roman" w:hAnsi="Arial" w:cs="Arial"/>
          <w:color w:val="2D2D2D"/>
          <w:sz w:val="20"/>
          <w:szCs w:val="20"/>
          <w:lang w:eastAsia="nl-NL"/>
        </w:rPr>
        <w:t xml:space="preserve">             </w:t>
      </w:r>
      <w:r w:rsidRPr="0082540C">
        <w:rPr>
          <w:rFonts w:ascii="Arial" w:eastAsia="Times New Roman" w:hAnsi="Arial" w:cs="Arial"/>
          <w:color w:val="2D2D2D"/>
          <w:sz w:val="20"/>
          <w:szCs w:val="20"/>
          <w:lang w:eastAsia="nl-NL"/>
        </w:rPr>
        <w:t>De zogeheten beleidsdekkingsgraad, de graadmeter waarnaar wordt gekeken bij besluiten over pensioenverhogingen, steeg afgelopen maand naar gemiddeld 114%. Pensioenfondsen die de intentie hebben om de huidige pensioenen ook om te zetten naar het nieuwe pensioenstelsel, mogen per 2022 bij een dekkingsgraad van 105 hun pensioenen indexeren als de verwachte versoepeling van de regels per 1 juli doorgaat. Toch vindt Aon dat fondsen daarmee voorzichtig moeten zijn. Het geld voor de pensioenverhoging zouden ze bijvoorbeeld ook achter de hand kunnen houden voor de overgang naar het nieuwe pensioenstelsel (zie ons</w:t>
      </w:r>
      <w:r w:rsidRPr="0082540C">
        <w:rPr>
          <w:rFonts w:ascii="Arial" w:eastAsia="Times New Roman" w:hAnsi="Arial" w:cs="Arial"/>
          <w:b/>
          <w:bCs/>
          <w:sz w:val="20"/>
          <w:szCs w:val="20"/>
          <w:lang w:eastAsia="nl-NL"/>
        </w:rPr>
        <w:t> </w:t>
      </w:r>
      <w:hyperlink r:id="rId7" w:tgtFrame="_blank" w:history="1">
        <w:r w:rsidRPr="0082540C">
          <w:rPr>
            <w:rFonts w:ascii="Arial" w:eastAsia="Times New Roman" w:hAnsi="Arial" w:cs="Arial"/>
            <w:sz w:val="20"/>
            <w:szCs w:val="20"/>
            <w:lang w:eastAsia="nl-NL"/>
          </w:rPr>
          <w:t>nieuwsbericht</w:t>
        </w:r>
      </w:hyperlink>
      <w:r w:rsidRPr="0082540C">
        <w:rPr>
          <w:rFonts w:ascii="Arial" w:eastAsia="Times New Roman" w:hAnsi="Arial" w:cs="Arial"/>
          <w:sz w:val="20"/>
          <w:szCs w:val="20"/>
          <w:lang w:eastAsia="nl-NL"/>
        </w:rPr>
        <w:t xml:space="preserve">). </w:t>
      </w:r>
      <w:r w:rsidRPr="0082540C">
        <w:rPr>
          <w:rFonts w:ascii="Arial" w:eastAsia="Times New Roman" w:hAnsi="Arial" w:cs="Arial"/>
          <w:color w:val="2D2D2D"/>
          <w:sz w:val="20"/>
          <w:szCs w:val="20"/>
          <w:lang w:eastAsia="nl-NL"/>
        </w:rPr>
        <w:t xml:space="preserve">Dat kan in sommige gevallen verstandig zijn, aldus </w:t>
      </w:r>
      <w:r w:rsidRPr="0082540C">
        <w:rPr>
          <w:rFonts w:ascii="Arial" w:eastAsia="Times New Roman" w:hAnsi="Arial" w:cs="Arial"/>
          <w:sz w:val="20"/>
          <w:szCs w:val="20"/>
          <w:u w:val="single"/>
          <w:lang w:eastAsia="nl-NL"/>
        </w:rPr>
        <w:t>Aon.</w:t>
      </w:r>
    </w:p>
    <w:p w14:paraId="20C66F3B" w14:textId="70087FF7" w:rsidR="00204478" w:rsidRDefault="00533410">
      <w:r>
        <w:t>Bron Fiscalert</w:t>
      </w:r>
    </w:p>
    <w:sectPr w:rsidR="002044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8A"/>
    <w:rsid w:val="00151373"/>
    <w:rsid w:val="001655F9"/>
    <w:rsid w:val="00204478"/>
    <w:rsid w:val="00533410"/>
    <w:rsid w:val="0082540C"/>
    <w:rsid w:val="00957B9F"/>
    <w:rsid w:val="00BF1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E9DBE"/>
  <w15:chartTrackingRefBased/>
  <w15:docId w15:val="{1457FE58-3CDC-46C3-ABEA-7372CFD8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F1D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1D8A"/>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BF1D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F1D8A"/>
    <w:rPr>
      <w:color w:val="0000FF"/>
      <w:u w:val="single"/>
    </w:rPr>
  </w:style>
  <w:style w:type="character" w:styleId="Zwaar">
    <w:name w:val="Strong"/>
    <w:basedOn w:val="Standaardalinea-lettertype"/>
    <w:uiPriority w:val="22"/>
    <w:qFormat/>
    <w:rsid w:val="00BF1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7118">
      <w:bodyDiv w:val="1"/>
      <w:marLeft w:val="0"/>
      <w:marRight w:val="0"/>
      <w:marTop w:val="0"/>
      <w:marBottom w:val="0"/>
      <w:divBdr>
        <w:top w:val="none" w:sz="0" w:space="0" w:color="auto"/>
        <w:left w:val="none" w:sz="0" w:space="0" w:color="auto"/>
        <w:bottom w:val="none" w:sz="0" w:space="0" w:color="auto"/>
        <w:right w:val="none" w:sz="0" w:space="0" w:color="auto"/>
      </w:divBdr>
      <w:divsChild>
        <w:div w:id="1098676226">
          <w:marLeft w:val="0"/>
          <w:marRight w:val="0"/>
          <w:marTop w:val="0"/>
          <w:marBottom w:val="0"/>
          <w:divBdr>
            <w:top w:val="none" w:sz="0" w:space="0" w:color="auto"/>
            <w:left w:val="none" w:sz="0" w:space="0" w:color="auto"/>
            <w:bottom w:val="none" w:sz="0" w:space="0" w:color="auto"/>
            <w:right w:val="none" w:sz="0" w:space="0" w:color="auto"/>
          </w:divBdr>
          <w:divsChild>
            <w:div w:id="222061129">
              <w:marLeft w:val="0"/>
              <w:marRight w:val="0"/>
              <w:marTop w:val="0"/>
              <w:marBottom w:val="0"/>
              <w:divBdr>
                <w:top w:val="none" w:sz="0" w:space="0" w:color="auto"/>
                <w:left w:val="none" w:sz="0" w:space="0" w:color="auto"/>
                <w:bottom w:val="none" w:sz="0" w:space="0" w:color="auto"/>
                <w:right w:val="none" w:sz="0" w:space="0" w:color="auto"/>
              </w:divBdr>
              <w:divsChild>
                <w:div w:id="509612030">
                  <w:marLeft w:val="0"/>
                  <w:marRight w:val="0"/>
                  <w:marTop w:val="0"/>
                  <w:marBottom w:val="0"/>
                  <w:divBdr>
                    <w:top w:val="none" w:sz="0" w:space="0" w:color="auto"/>
                    <w:left w:val="none" w:sz="0" w:space="0" w:color="auto"/>
                    <w:bottom w:val="none" w:sz="0" w:space="0" w:color="auto"/>
                    <w:right w:val="none" w:sz="0" w:space="0" w:color="auto"/>
                  </w:divBdr>
                  <w:divsChild>
                    <w:div w:id="87538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78982">
      <w:bodyDiv w:val="1"/>
      <w:marLeft w:val="0"/>
      <w:marRight w:val="0"/>
      <w:marTop w:val="0"/>
      <w:marBottom w:val="0"/>
      <w:divBdr>
        <w:top w:val="none" w:sz="0" w:space="0" w:color="auto"/>
        <w:left w:val="none" w:sz="0" w:space="0" w:color="auto"/>
        <w:bottom w:val="none" w:sz="0" w:space="0" w:color="auto"/>
        <w:right w:val="none" w:sz="0" w:space="0" w:color="auto"/>
      </w:divBdr>
      <w:divsChild>
        <w:div w:id="721976777">
          <w:marLeft w:val="0"/>
          <w:marRight w:val="0"/>
          <w:marTop w:val="0"/>
          <w:marBottom w:val="300"/>
          <w:divBdr>
            <w:top w:val="none" w:sz="0" w:space="0" w:color="auto"/>
            <w:left w:val="none" w:sz="0" w:space="0" w:color="auto"/>
            <w:bottom w:val="none" w:sz="0" w:space="0" w:color="auto"/>
            <w:right w:val="none" w:sz="0" w:space="0" w:color="auto"/>
          </w:divBdr>
          <w:divsChild>
            <w:div w:id="186023032">
              <w:marLeft w:val="0"/>
              <w:marRight w:val="0"/>
              <w:marTop w:val="0"/>
              <w:marBottom w:val="0"/>
              <w:divBdr>
                <w:top w:val="none" w:sz="0" w:space="0" w:color="auto"/>
                <w:left w:val="none" w:sz="0" w:space="0" w:color="auto"/>
                <w:bottom w:val="none" w:sz="0" w:space="0" w:color="auto"/>
                <w:right w:val="none" w:sz="0" w:space="0" w:color="auto"/>
              </w:divBdr>
              <w:divsChild>
                <w:div w:id="2136021207">
                  <w:marLeft w:val="0"/>
                  <w:marRight w:val="0"/>
                  <w:marTop w:val="0"/>
                  <w:marBottom w:val="0"/>
                  <w:divBdr>
                    <w:top w:val="none" w:sz="0" w:space="0" w:color="auto"/>
                    <w:left w:val="none" w:sz="0" w:space="0" w:color="auto"/>
                    <w:bottom w:val="none" w:sz="0" w:space="0" w:color="auto"/>
                    <w:right w:val="none" w:sz="0" w:space="0" w:color="auto"/>
                  </w:divBdr>
                  <w:divsChild>
                    <w:div w:id="14332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4440">
              <w:marLeft w:val="-60"/>
              <w:marRight w:val="0"/>
              <w:marTop w:val="0"/>
              <w:marBottom w:val="0"/>
              <w:divBdr>
                <w:top w:val="none" w:sz="0" w:space="0" w:color="auto"/>
                <w:left w:val="none" w:sz="0" w:space="0" w:color="auto"/>
                <w:bottom w:val="none" w:sz="0" w:space="0" w:color="auto"/>
                <w:right w:val="none" w:sz="0" w:space="0" w:color="auto"/>
              </w:divBdr>
            </w:div>
          </w:divsChild>
        </w:div>
        <w:div w:id="623656634">
          <w:marLeft w:val="0"/>
          <w:marRight w:val="0"/>
          <w:marTop w:val="0"/>
          <w:marBottom w:val="0"/>
          <w:divBdr>
            <w:top w:val="none" w:sz="0" w:space="0" w:color="auto"/>
            <w:left w:val="none" w:sz="0" w:space="0" w:color="auto"/>
            <w:bottom w:val="none" w:sz="0" w:space="0" w:color="auto"/>
            <w:right w:val="none" w:sz="0" w:space="0" w:color="auto"/>
          </w:divBdr>
          <w:divsChild>
            <w:div w:id="1436821868">
              <w:marLeft w:val="0"/>
              <w:marRight w:val="0"/>
              <w:marTop w:val="0"/>
              <w:marBottom w:val="0"/>
              <w:divBdr>
                <w:top w:val="none" w:sz="0" w:space="0" w:color="auto"/>
                <w:left w:val="none" w:sz="0" w:space="0" w:color="auto"/>
                <w:bottom w:val="none" w:sz="0" w:space="0" w:color="auto"/>
                <w:right w:val="none" w:sz="0" w:space="0" w:color="auto"/>
              </w:divBdr>
              <w:divsChild>
                <w:div w:id="2146964523">
                  <w:marLeft w:val="0"/>
                  <w:marRight w:val="0"/>
                  <w:marTop w:val="0"/>
                  <w:marBottom w:val="0"/>
                  <w:divBdr>
                    <w:top w:val="none" w:sz="0" w:space="0" w:color="auto"/>
                    <w:left w:val="none" w:sz="0" w:space="0" w:color="auto"/>
                    <w:bottom w:val="none" w:sz="0" w:space="0" w:color="auto"/>
                    <w:right w:val="none" w:sz="0" w:space="0" w:color="auto"/>
                  </w:divBdr>
                  <w:divsChild>
                    <w:div w:id="7044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iscalert.nl/pensioen/nieuws-en-tips/nieuwe-pensioenwet-naar-tweede-kam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on.com/netherlands/newsroom/persberichten/2022/dekkingsgraad-pensioenfondsen-houdt-stijgende-lijn.jsp" TargetMode="External"/><Relationship Id="rId5" Type="http://schemas.openxmlformats.org/officeDocument/2006/relationships/hyperlink" Target="https://nos.nl/artikel/2431184-lagere-btw-op-energie-ziet-niet-iedereen-meteen-terug" TargetMode="External"/><Relationship Id="rId4" Type="http://schemas.openxmlformats.org/officeDocument/2006/relationships/hyperlink" Target="https://www.consumentenbond.nl/nieuws/2022/energieleveranciers-moeten-btw-verlaging-direct-doorberekenen"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411</Words>
  <Characters>2266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5</cp:revision>
  <dcterms:created xsi:type="dcterms:W3CDTF">2022-06-04T10:21:00Z</dcterms:created>
  <dcterms:modified xsi:type="dcterms:W3CDTF">2022-06-04T10:28:00Z</dcterms:modified>
</cp:coreProperties>
</file>